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2D9" w14:textId="77777777" w:rsidR="002457D9" w:rsidRPr="00C14BDC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728" w:hAnsi="SFRM1728" w:cs="SFRM1728"/>
          <w:b/>
          <w:bCs/>
          <w:sz w:val="34"/>
          <w:szCs w:val="34"/>
          <w:lang w:val="en-US"/>
        </w:rPr>
      </w:pPr>
      <w:r w:rsidRPr="00C14BDC">
        <w:rPr>
          <w:rFonts w:ascii="SFRM1728" w:hAnsi="SFRM1728" w:cs="SFRM1728"/>
          <w:b/>
          <w:bCs/>
          <w:sz w:val="34"/>
          <w:szCs w:val="34"/>
          <w:lang w:val="en-US"/>
        </w:rPr>
        <w:t>Hadron Physics 2030</w:t>
      </w:r>
    </w:p>
    <w:p w14:paraId="57841E2D" w14:textId="77777777" w:rsidR="002457D9" w:rsidRPr="00C14BDC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</w:pPr>
      <w:r w:rsidRPr="00C14BDC"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  <w:t xml:space="preserve">Cédric </w:t>
      </w:r>
      <w:proofErr w:type="spellStart"/>
      <w:r w:rsidRPr="00C14BDC"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  <w:t>Mezrag</w:t>
      </w:r>
      <w:proofErr w:type="spellEnd"/>
      <w:r w:rsidRPr="00C14BDC"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  <w:t xml:space="preserve">, Éric </w:t>
      </w:r>
      <w:proofErr w:type="spellStart"/>
      <w:r w:rsidRPr="00C14BDC"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  <w:t>Voutier</w:t>
      </w:r>
      <w:proofErr w:type="spellEnd"/>
      <w:r w:rsidRPr="00C14BDC">
        <w:rPr>
          <w:rFonts w:ascii="SFRM1200" w:hAnsi="SFRM1200" w:cs="SFRM1200"/>
          <w:color w:val="767171" w:themeColor="background2" w:themeShade="80"/>
          <w:sz w:val="24"/>
          <w:szCs w:val="24"/>
          <w:lang w:val="en-US"/>
        </w:rPr>
        <w:t xml:space="preserve"> and partners from MDHS and JPhys++ programs</w:t>
      </w:r>
    </w:p>
    <w:p w14:paraId="3CF8C2D7" w14:textId="77777777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02867B32" w14:textId="6EB1FB0B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The organisers of MDHS and JPhys++ projects, encouraged by the scientific council and the head</w:t>
      </w:r>
    </w:p>
    <w:p w14:paraId="7C30CE47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of Institut Pascal, have met in order to identify the possibility to merge the two events into a single one.</w:t>
      </w:r>
    </w:p>
    <w:p w14:paraId="776684EF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During this process it has been highlighted that, even if the objectives of the two events are distinct</w:t>
      </w:r>
    </w:p>
    <w:p w14:paraId="27F8ECE6" w14:textId="20C1ADC9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and somehow not much overlapping, the JPhys project would strongly benefit of the outcome of some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of the planned reflections and discussions expected to be hold during the MDHS project. Indeed, world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experts in theory and phenomenology of the 3D hadron structure would join the MDHS program in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order to answer the following question:</w:t>
      </w:r>
    </w:p>
    <w:p w14:paraId="714A0171" w14:textId="77777777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690F5416" w14:textId="647E98AF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b/>
          <w:bCs/>
          <w:i/>
          <w:iCs/>
          <w:lang w:val="en-US"/>
        </w:rPr>
      </w:pPr>
      <w:r w:rsidRPr="002457D9">
        <w:rPr>
          <w:rFonts w:ascii="SFRM1095" w:hAnsi="SFRM1095" w:cs="SFRM1095"/>
          <w:b/>
          <w:bCs/>
          <w:i/>
          <w:iCs/>
          <w:lang w:val="en-US"/>
        </w:rPr>
        <w:t>What are the best strategies to extract GPDs and TMDs from experimental data with a</w:t>
      </w:r>
      <w:r>
        <w:rPr>
          <w:rFonts w:ascii="SFRM1095" w:hAnsi="SFRM1095" w:cs="SFRM1095"/>
          <w:b/>
          <w:bCs/>
          <w:i/>
          <w:iCs/>
          <w:lang w:val="en-US"/>
        </w:rPr>
        <w:t xml:space="preserve"> </w:t>
      </w:r>
      <w:r w:rsidRPr="002457D9">
        <w:rPr>
          <w:rFonts w:ascii="SFRM1095" w:hAnsi="SFRM1095" w:cs="SFRM1095"/>
          <w:b/>
          <w:bCs/>
          <w:i/>
          <w:iCs/>
          <w:lang w:val="en-US"/>
        </w:rPr>
        <w:t>good control on theoretical systematic uncertainties?</w:t>
      </w:r>
    </w:p>
    <w:p w14:paraId="5B02505B" w14:textId="77777777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7A4A7C23" w14:textId="0E642013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The relevance of a future experimental program is strongly entangled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with its ability to provide new sets of data able to strongly impact phenomenological studies, by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smoothing sharp technical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 xml:space="preserve">difficulties arising for instance from ill-posed inverse problems. </w:t>
      </w:r>
      <w:r w:rsidR="00C14BDC" w:rsidRPr="002457D9">
        <w:rPr>
          <w:rFonts w:ascii="SFRM1095" w:hAnsi="SFRM1095" w:cs="SFRM1095"/>
          <w:lang w:val="en-US"/>
        </w:rPr>
        <w:t>Therefore,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 xml:space="preserve">to ensure that these discussions </w:t>
      </w:r>
      <w:r w:rsidR="00C14BDC" w:rsidRPr="002457D9">
        <w:rPr>
          <w:rFonts w:ascii="SFRM1095" w:hAnsi="SFRM1095" w:cs="SFRM1095"/>
          <w:lang w:val="en-US"/>
        </w:rPr>
        <w:t>take</w:t>
      </w:r>
      <w:r w:rsidRPr="002457D9">
        <w:rPr>
          <w:rFonts w:ascii="SFRM1095" w:hAnsi="SFRM1095" w:cs="SFRM1095"/>
          <w:lang w:val="en-US"/>
        </w:rPr>
        <w:t xml:space="preserve"> place and that the merging of the two previous projects becomes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more than the sum of its parts, a reshuffling of the programs is presented here, spanning on three</w:t>
      </w:r>
      <w:r>
        <w:rPr>
          <w:rFonts w:ascii="SFRM1095" w:hAnsi="SFRM1095" w:cs="SFRM1095"/>
          <w:lang w:val="en-US"/>
        </w:rPr>
        <w:t xml:space="preserve"> </w:t>
      </w:r>
      <w:r w:rsidRPr="002457D9">
        <w:rPr>
          <w:rFonts w:ascii="SFRM1095" w:hAnsi="SFRM1095" w:cs="SFRM1095"/>
          <w:lang w:val="en-US"/>
        </w:rPr>
        <w:t>weeks.</w:t>
      </w:r>
    </w:p>
    <w:p w14:paraId="3B7ECC15" w14:textId="77777777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1689417B" w14:textId="02D188EE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b/>
          <w:bCs/>
          <w:lang w:val="en-US"/>
        </w:rPr>
        <w:t xml:space="preserve">The first week </w:t>
      </w:r>
      <w:r w:rsidRPr="002457D9">
        <w:rPr>
          <w:rFonts w:ascii="SFRM1095" w:hAnsi="SFRM1095" w:cs="SFRM1095"/>
          <w:lang w:val="en-US"/>
        </w:rPr>
        <w:t>will mostly focus on the theory and simulation of hadron physics, and technical</w:t>
      </w:r>
    </w:p>
    <w:p w14:paraId="2AA1BB6A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discussions. During this period, topics which were expected to be mostly or exclusively covered in</w:t>
      </w:r>
    </w:p>
    <w:p w14:paraId="199FA009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MDHS will be treated, in parallel with the hadron spectroscopy component of JPhys++. The schedule</w:t>
      </w:r>
    </w:p>
    <w:p w14:paraId="1BCB3A89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is expected to be rather dense, though the organisers will make sure that sufficient discussion time</w:t>
      </w:r>
    </w:p>
    <w:p w14:paraId="5E915543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will be allowed so that technical barriers can be lifted by small groups. A few key experimentalists</w:t>
      </w:r>
    </w:p>
    <w:p w14:paraId="0880CDB9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 xml:space="preserve">from </w:t>
      </w:r>
      <w:proofErr w:type="spellStart"/>
      <w:r w:rsidRPr="002457D9">
        <w:rPr>
          <w:rFonts w:ascii="SFRM1095" w:hAnsi="SFRM1095" w:cs="SFRM1095"/>
          <w:lang w:val="en-US"/>
        </w:rPr>
        <w:t>JPhy</w:t>
      </w:r>
      <w:proofErr w:type="spellEnd"/>
      <w:r w:rsidRPr="002457D9">
        <w:rPr>
          <w:rFonts w:ascii="SFRM1095" w:hAnsi="SFRM1095" w:cs="SFRM1095"/>
          <w:lang w:val="en-US"/>
        </w:rPr>
        <w:t>++ will also join, in order to set the stage for the next two weeks, and insuring that first</w:t>
      </w:r>
    </w:p>
    <w:p w14:paraId="5060F8A4" w14:textId="03B304AC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interactions between theorists and experimentalists are set up.</w:t>
      </w:r>
    </w:p>
    <w:p w14:paraId="05C6DDEE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332F7B87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b/>
          <w:bCs/>
          <w:lang w:val="en-US"/>
        </w:rPr>
        <w:t>The second week</w:t>
      </w:r>
      <w:r w:rsidRPr="002457D9">
        <w:rPr>
          <w:rFonts w:ascii="SFRM1095" w:hAnsi="SFRM1095" w:cs="SFRM1095"/>
          <w:lang w:val="en-US"/>
        </w:rPr>
        <w:t xml:space="preserve"> will be the real merged week, handing over smoothly the leadership from theorists</w:t>
      </w:r>
    </w:p>
    <w:p w14:paraId="3FA2BC9D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to experimentalists. We plan to organise summary talks of the first week, highlighting for the joining</w:t>
      </w:r>
    </w:p>
    <w:p w14:paraId="612AB351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experimentalists the outcomes of the theory discussions, in order to feed into their own strategy on</w:t>
      </w:r>
    </w:p>
    <w:p w14:paraId="3E2E13ED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the design of future upgrades of the Jefferson Laboratory facility. In parallel to the experimental</w:t>
      </w:r>
    </w:p>
    <w:p w14:paraId="08BF3B59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discussion, we expect a continuing theory effort, especially regarding the study of Generalised Parton</w:t>
      </w:r>
    </w:p>
    <w:p w14:paraId="2B548D6A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Distributions and Transverse Momentum Dependent distributions. The presence of such theorists</w:t>
      </w:r>
    </w:p>
    <w:p w14:paraId="65C1EB4E" w14:textId="393CA3B7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through the second week will offer the possibility of joined discussion sessions.</w:t>
      </w:r>
    </w:p>
    <w:p w14:paraId="66617C6B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5B6CFA55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b/>
          <w:bCs/>
          <w:lang w:val="en-US"/>
        </w:rPr>
        <w:t>The third week</w:t>
      </w:r>
      <w:r w:rsidRPr="002457D9">
        <w:rPr>
          <w:rFonts w:ascii="SFRM1095" w:hAnsi="SFRM1095" w:cs="SFRM1095"/>
          <w:lang w:val="en-US"/>
        </w:rPr>
        <w:t xml:space="preserve"> will be dedicated to the writing of the physics case of the future upgrades of</w:t>
      </w:r>
    </w:p>
    <w:p w14:paraId="7ECC7766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 xml:space="preserve">Jefferson Laboratory within a workshop mode organisation. This week will see </w:t>
      </w:r>
      <w:proofErr w:type="spellStart"/>
      <w:proofErr w:type="gramStart"/>
      <w:r w:rsidRPr="002457D9">
        <w:rPr>
          <w:rFonts w:ascii="SFRM1095" w:hAnsi="SFRM1095" w:cs="SFRM1095"/>
          <w:lang w:val="en-US"/>
        </w:rPr>
        <w:t>a</w:t>
      </w:r>
      <w:proofErr w:type="spellEnd"/>
      <w:proofErr w:type="gramEnd"/>
      <w:r w:rsidRPr="002457D9">
        <w:rPr>
          <w:rFonts w:ascii="SFRM1095" w:hAnsi="SFRM1095" w:cs="SFRM1095"/>
          <w:lang w:val="en-US"/>
        </w:rPr>
        <w:t xml:space="preserve"> important use of</w:t>
      </w:r>
    </w:p>
    <w:p w14:paraId="050D932C" w14:textId="0FCEC346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 xml:space="preserve">remote presentation tools, to ensure </w:t>
      </w:r>
      <w:r w:rsidRPr="002457D9">
        <w:rPr>
          <w:rFonts w:ascii="SFRM1095" w:hAnsi="SFRM1095" w:cs="SFRM1095"/>
          <w:lang w:val="en-US"/>
        </w:rPr>
        <w:t>daily feedback</w:t>
      </w:r>
      <w:r w:rsidRPr="002457D9">
        <w:rPr>
          <w:rFonts w:ascii="SFRM1095" w:hAnsi="SFRM1095" w:cs="SFRM1095"/>
          <w:lang w:val="en-US"/>
        </w:rPr>
        <w:t xml:space="preserve"> from people located at Jefferson Laboratory.</w:t>
      </w:r>
    </w:p>
    <w:p w14:paraId="74D3B00F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Specific session will be dedicated to the writing of a scientific report, wrapping up the discussions held</w:t>
      </w:r>
    </w:p>
    <w:p w14:paraId="78162EAD" w14:textId="44EF0603" w:rsid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at IPa.</w:t>
      </w:r>
    </w:p>
    <w:p w14:paraId="20C68592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</w:p>
    <w:p w14:paraId="06098D2D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 xml:space="preserve">We will also propose </w:t>
      </w:r>
      <w:r w:rsidRPr="002457D9">
        <w:rPr>
          <w:rFonts w:ascii="SFRM1095" w:hAnsi="SFRM1095" w:cs="SFRM1095"/>
          <w:u w:val="single"/>
          <w:lang w:val="en-US"/>
        </w:rPr>
        <w:t>a public Lecture</w:t>
      </w:r>
      <w:r w:rsidRPr="002457D9">
        <w:rPr>
          <w:rFonts w:ascii="SFRM1095" w:hAnsi="SFRM1095" w:cs="SFRM1095"/>
          <w:lang w:val="en-US"/>
        </w:rPr>
        <w:t xml:space="preserve"> during each of the first two weeks, dedicated to the students</w:t>
      </w:r>
    </w:p>
    <w:p w14:paraId="3779A13C" w14:textId="7AFEFBC4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of th Uni</w:t>
      </w:r>
      <w:r>
        <w:rPr>
          <w:rFonts w:ascii="SFRM1095" w:hAnsi="SFRM1095" w:cs="SFRM1095"/>
          <w:lang w:val="en-US"/>
        </w:rPr>
        <w:t>v</w:t>
      </w:r>
      <w:r w:rsidRPr="002457D9">
        <w:rPr>
          <w:rFonts w:ascii="SFRM1095" w:hAnsi="SFRM1095" w:cs="SFRM1095"/>
          <w:lang w:val="en-US"/>
        </w:rPr>
        <w:t>ersité Paris-Saclay: one more oriented on the theoretical aspects of our physics domain, and</w:t>
      </w:r>
    </w:p>
    <w:p w14:paraId="502B42E1" w14:textId="77777777" w:rsidR="002457D9" w:rsidRPr="002457D9" w:rsidRDefault="002457D9" w:rsidP="002457D9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2457D9">
        <w:rPr>
          <w:rFonts w:ascii="SFRM1095" w:hAnsi="SFRM1095" w:cs="SFRM1095"/>
          <w:lang w:val="en-US"/>
        </w:rPr>
        <w:t>the another one on the experimental and technological challenges.</w:t>
      </w:r>
    </w:p>
    <w:p w14:paraId="760E0785" w14:textId="230D8438" w:rsidR="002457D9" w:rsidRDefault="002457D9" w:rsidP="002457D9"/>
    <w:sectPr w:rsidR="0024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72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9"/>
    <w:rsid w:val="002457D9"/>
    <w:rsid w:val="00C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4F9"/>
  <w15:chartTrackingRefBased/>
  <w15:docId w15:val="{686CD58A-6B69-4050-8A1E-43F2149E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CUPIC Vesna</dc:creator>
  <cp:keywords/>
  <dc:description/>
  <cp:lastModifiedBy>CUPIC Vesna</cp:lastModifiedBy>
  <cp:revision>1</cp:revision>
  <dcterms:created xsi:type="dcterms:W3CDTF">2024-04-17T07:56:00Z</dcterms:created>
  <dcterms:modified xsi:type="dcterms:W3CDTF">2024-04-17T08:02:00Z</dcterms:modified>
</cp:coreProperties>
</file>